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png" Extension="png"/>
  <Override ContentType="image/x-emf" PartName="/word/media/image3.emf"/>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240" w:after="120" w:line="240" w:lineRule="auto"/>
        <w:jc w:val="left"/>
        <w:rPr>
          <w:b/>
          <w:bCs/>
        </w:rPr>
      </w:pPr>
      <w:r>
        <w:rPr>
          <w:rFonts w:hint="eastAsia"/>
          <w:b/>
          <w:bCs/>
        </w:rPr>
        <w:t>磨损</w:t>
      </w:r>
      <w:r>
        <w:rPr>
          <w:rFonts w:hint="eastAsia"/>
          <w:b/>
          <w:bCs/>
          <w:lang w:val="en-US" w:eastAsia="zh-CN"/>
        </w:rPr>
        <w:t>1：</w:t>
      </w:r>
    </w:p>
    <w:p>
      <w:pPr>
        <w:spacing w:before="240" w:after="120" w:line="240" w:lineRule="auto"/>
        <w:jc w:val="center"/>
      </w:pPr>
      <w:bookmarkStart w:id="0" w:name="_GoBack"/>
      <w:r>
        <w:rPr>
          <w:rFonts w:ascii="Calibri" w:hAnsi="Calibri" w:eastAsia="宋体"/>
          <w:kern w:val="2"/>
          <w:sz w:val="21"/>
          <w:szCs w:val="22"/>
          <w:lang w:val="en-US" w:eastAsia="zh-CN" w:bidi="ar-SA"/>
        </w:rPr>
        <w:pict>
          <v:shape id="图片 4" o:spid="_x0000_s1026" type="#_x0000_t75" style="height:197.15pt;width:262.9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bookmarkEnd w:id="0"/>
    </w:p>
    <w:p>
      <w:pPr>
        <w:spacing w:before="240" w:after="120" w:line="240" w:lineRule="auto"/>
        <w:jc w:val="left"/>
        <w:rPr>
          <w:rFonts w:hint="eastAsia"/>
          <w:b/>
          <w:bCs/>
          <w:lang w:val="en-US" w:eastAsia="zh-CN"/>
        </w:rPr>
      </w:pPr>
      <w:r>
        <w:rPr>
          <w:rFonts w:hint="eastAsia"/>
          <w:b/>
          <w:bCs/>
        </w:rPr>
        <w:t>磨损</w:t>
      </w:r>
      <w:r>
        <w:rPr>
          <w:rFonts w:hint="eastAsia"/>
          <w:b/>
          <w:bCs/>
          <w:lang w:val="en-US" w:eastAsia="zh-CN"/>
        </w:rPr>
        <w:t>2：</w:t>
      </w:r>
    </w:p>
    <w:p>
      <w:pPr>
        <w:spacing w:before="240" w:after="120" w:line="240" w:lineRule="auto"/>
        <w:jc w:val="center"/>
        <w:rPr>
          <w:rFonts w:hint="eastAsia"/>
          <w:b/>
          <w:bCs/>
          <w:lang w:val="en-US" w:eastAsia="zh-CN"/>
        </w:rPr>
      </w:pPr>
      <w:r>
        <w:rPr>
          <w:rFonts w:ascii="Calibri" w:hAnsi="Calibri" w:eastAsia="宋体"/>
          <w:kern w:val="2"/>
          <w:sz w:val="21"/>
          <w:szCs w:val="22"/>
          <w:lang w:val="en-US" w:eastAsia="zh-CN" w:bidi="ar-SA"/>
        </w:rPr>
        <w:pict>
          <v:shape id="图片 5" o:spid="_x0000_s1027" type="#_x0000_t75" style="height:181.95pt;width:182.5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p>
    <w:p>
      <w:pPr>
        <w:spacing w:before="240" w:after="120" w:line="240" w:lineRule="auto"/>
        <w:jc w:val="left"/>
        <w:rPr>
          <w:rFonts w:hint="eastAsia"/>
        </w:rPr>
      </w:pPr>
    </w:p>
    <w:p>
      <w:pPr>
        <w:spacing w:before="240" w:after="120" w:line="240" w:lineRule="auto"/>
        <w:jc w:val="left"/>
        <w:rPr>
          <w:b/>
          <w:bCs/>
          <w:sz w:val="22"/>
          <w:szCs w:val="22"/>
        </w:rPr>
      </w:pPr>
      <w:r>
        <w:rPr>
          <w:rFonts w:hint="eastAsia"/>
          <w:b/>
          <w:bCs/>
          <w:sz w:val="22"/>
          <w:szCs w:val="22"/>
        </w:rPr>
        <w:t>形成修复层的物理性能</w:t>
      </w:r>
      <w:r>
        <w:rPr>
          <w:rFonts w:hint="eastAsia"/>
          <w:b/>
          <w:bCs/>
          <w:sz w:val="22"/>
          <w:szCs w:val="22"/>
          <w:lang w:val="en-US" w:eastAsia="zh-CN"/>
        </w:rPr>
        <w:t>:</w:t>
      </w:r>
    </w:p>
    <w:tbl>
      <w:tblPr>
        <w:tblW w:w="6787" w:type="dxa"/>
        <w:jc w:val="center"/>
        <w:tblBorders>
          <w:top w:val="single" w:color="008000" w:sz="12" w:space="0"/>
          <w:left w:val="none" w:color="auto" w:sz="0" w:space="0"/>
          <w:bottom w:val="single" w:color="008000"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388"/>
        <w:gridCol w:w="4399"/>
      </w:tblGrid>
      <w:tr>
        <w:tblPrEx>
          <w:tblBorders>
            <w:top w:val="single" w:color="008000" w:sz="12" w:space="0"/>
            <w:left w:val="none" w:color="auto" w:sz="0" w:space="0"/>
            <w:bottom w:val="single" w:color="008000"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1" w:hRule="atLeast"/>
          <w:jc w:val="center"/>
        </w:trPr>
        <w:tc>
          <w:tcPr>
            <w:tcW w:w="2388" w:type="dxa"/>
            <w:tcBorders>
              <w:bottom w:val="single" w:color="008000" w:sz="6" w:space="0"/>
            </w:tcBorders>
            <w:vAlign w:val="top"/>
          </w:tcPr>
          <w:p>
            <w:pPr>
              <w:spacing w:after="60" w:line="240" w:lineRule="auto"/>
              <w:jc w:val="center"/>
              <w:rPr>
                <w:rFonts w:ascii="Times New Roman" w:hAnsi="Times New Roman" w:eastAsia="宋体" w:cs="Times New Roman"/>
                <w:b/>
                <w:kern w:val="0"/>
                <w:sz w:val="22"/>
                <w:szCs w:val="22"/>
              </w:rPr>
            </w:pPr>
            <w:r>
              <w:rPr>
                <w:rFonts w:hint="eastAsia" w:ascii="Times New Roman" w:hAnsi="Times New Roman" w:eastAsia="宋体" w:cs="Times New Roman"/>
                <w:b/>
                <w:kern w:val="0"/>
                <w:sz w:val="22"/>
                <w:szCs w:val="22"/>
              </w:rPr>
              <w:t>物理性能</w:t>
            </w:r>
          </w:p>
        </w:tc>
        <w:tc>
          <w:tcPr>
            <w:tcW w:w="4399" w:type="dxa"/>
            <w:tcBorders>
              <w:bottom w:val="single" w:color="008000" w:sz="6" w:space="0"/>
            </w:tcBorders>
            <w:vAlign w:val="top"/>
          </w:tcPr>
          <w:p>
            <w:pPr>
              <w:spacing w:after="60" w:line="240" w:lineRule="auto"/>
              <w:jc w:val="center"/>
              <w:rPr>
                <w:rFonts w:ascii="Times New Roman" w:hAnsi="Times New Roman" w:eastAsia="宋体" w:cs="Times New Roman"/>
                <w:b/>
                <w:kern w:val="0"/>
                <w:sz w:val="22"/>
                <w:szCs w:val="22"/>
              </w:rPr>
            </w:pPr>
            <w:r>
              <w:rPr>
                <w:rFonts w:hint="eastAsia" w:ascii="Times New Roman" w:hAnsi="Times New Roman" w:eastAsia="宋体" w:cs="Times New Roman"/>
                <w:b/>
                <w:kern w:val="0"/>
                <w:sz w:val="22"/>
                <w:szCs w:val="22"/>
              </w:rPr>
              <w:t>性能描述</w:t>
            </w:r>
          </w:p>
        </w:tc>
      </w:tr>
      <w:tr>
        <w:tblPrEx>
          <w:tblBorders>
            <w:top w:val="single" w:color="008000" w:sz="12" w:space="0"/>
            <w:left w:val="none" w:color="auto" w:sz="0" w:space="0"/>
            <w:bottom w:val="single" w:color="008000"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1" w:hRule="atLeast"/>
          <w:jc w:val="center"/>
        </w:trPr>
        <w:tc>
          <w:tcPr>
            <w:tcW w:w="2388" w:type="dxa"/>
            <w:vAlign w:val="top"/>
          </w:tcPr>
          <w:p>
            <w:pPr>
              <w:spacing w:after="60" w:line="240" w:lineRule="auto"/>
              <w:jc w:val="center"/>
              <w:rPr>
                <w:rFonts w:ascii="Times New Roman" w:hAnsi="Times New Roman" w:eastAsia="宋体" w:cs="Times New Roman"/>
                <w:kern w:val="0"/>
                <w:sz w:val="22"/>
                <w:szCs w:val="22"/>
              </w:rPr>
            </w:pPr>
            <w:r>
              <w:rPr>
                <w:rFonts w:hint="eastAsia" w:ascii="Times New Roman" w:hAnsi="Times New Roman" w:eastAsia="宋体" w:cs="Times New Roman"/>
                <w:kern w:val="0"/>
                <w:sz w:val="22"/>
                <w:szCs w:val="22"/>
              </w:rPr>
              <w:t>摩擦系数</w:t>
            </w:r>
          </w:p>
        </w:tc>
        <w:tc>
          <w:tcPr>
            <w:tcW w:w="4399" w:type="dxa"/>
            <w:vAlign w:val="top"/>
          </w:tcPr>
          <w:p>
            <w:pPr>
              <w:spacing w:after="60" w:line="240" w:lineRule="auto"/>
              <w:jc w:val="center"/>
              <w:rPr>
                <w:rFonts w:ascii="Times New Roman" w:hAnsi="Times New Roman" w:eastAsia="宋体" w:cs="Times New Roman"/>
                <w:kern w:val="0"/>
                <w:sz w:val="22"/>
                <w:szCs w:val="22"/>
              </w:rPr>
            </w:pPr>
            <w:r>
              <w:rPr>
                <w:rFonts w:ascii="Times New Roman" w:hAnsi="Times New Roman" w:eastAsia="宋体" w:cs="Times New Roman"/>
                <w:kern w:val="0"/>
                <w:sz w:val="22"/>
                <w:szCs w:val="22"/>
              </w:rPr>
              <w:t>0.003</w:t>
            </w:r>
            <w:r>
              <w:rPr>
                <w:rFonts w:hint="eastAsia" w:ascii="Times New Roman" w:hAnsi="Times New Roman" w:eastAsia="宋体" w:cs="Times New Roman"/>
                <w:kern w:val="0"/>
                <w:sz w:val="22"/>
                <w:szCs w:val="22"/>
              </w:rPr>
              <w:t>－</w:t>
            </w:r>
            <w:r>
              <w:rPr>
                <w:rFonts w:ascii="Times New Roman" w:hAnsi="Times New Roman" w:eastAsia="宋体" w:cs="Times New Roman"/>
                <w:kern w:val="0"/>
                <w:sz w:val="22"/>
                <w:szCs w:val="22"/>
              </w:rPr>
              <w:t>0.007</w:t>
            </w:r>
          </w:p>
        </w:tc>
      </w:tr>
      <w:tr>
        <w:tblPrEx>
          <w:tblBorders>
            <w:top w:val="single" w:color="008000" w:sz="12" w:space="0"/>
            <w:left w:val="none" w:color="auto" w:sz="0" w:space="0"/>
            <w:bottom w:val="single" w:color="008000"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1" w:hRule="atLeast"/>
          <w:jc w:val="center"/>
        </w:trPr>
        <w:tc>
          <w:tcPr>
            <w:tcW w:w="2388" w:type="dxa"/>
            <w:vAlign w:val="top"/>
          </w:tcPr>
          <w:p>
            <w:pPr>
              <w:spacing w:after="60" w:line="240" w:lineRule="auto"/>
              <w:jc w:val="center"/>
              <w:rPr>
                <w:rFonts w:ascii="Times New Roman" w:hAnsi="Times New Roman" w:eastAsia="宋体" w:cs="Times New Roman"/>
                <w:kern w:val="0"/>
                <w:sz w:val="22"/>
                <w:szCs w:val="22"/>
              </w:rPr>
            </w:pPr>
            <w:r>
              <w:rPr>
                <w:rFonts w:hint="eastAsia" w:ascii="Times New Roman" w:hAnsi="Times New Roman" w:eastAsia="宋体" w:cs="Times New Roman"/>
                <w:kern w:val="0"/>
                <w:sz w:val="22"/>
                <w:szCs w:val="22"/>
              </w:rPr>
              <w:t>显微硬度</w:t>
            </w:r>
          </w:p>
        </w:tc>
        <w:tc>
          <w:tcPr>
            <w:tcW w:w="4399" w:type="dxa"/>
            <w:vAlign w:val="top"/>
          </w:tcPr>
          <w:p>
            <w:pPr>
              <w:spacing w:after="60" w:line="240" w:lineRule="auto"/>
              <w:jc w:val="center"/>
              <w:rPr>
                <w:rFonts w:ascii="Times New Roman" w:hAnsi="Times New Roman" w:eastAsia="宋体" w:cs="Times New Roman"/>
                <w:kern w:val="0"/>
                <w:sz w:val="22"/>
                <w:szCs w:val="22"/>
              </w:rPr>
            </w:pPr>
            <w:r>
              <w:rPr>
                <w:rFonts w:ascii="Times New Roman" w:hAnsi="Times New Roman" w:eastAsia="宋体" w:cs="Times New Roman"/>
                <w:kern w:val="0"/>
                <w:sz w:val="22"/>
                <w:szCs w:val="22"/>
              </w:rPr>
              <w:t>690</w:t>
            </w:r>
            <w:r>
              <w:rPr>
                <w:rFonts w:hint="eastAsia" w:ascii="Times New Roman" w:hAnsi="Times New Roman" w:eastAsia="宋体" w:cs="Times New Roman"/>
                <w:kern w:val="0"/>
                <w:sz w:val="22"/>
                <w:szCs w:val="22"/>
              </w:rPr>
              <w:t>H</w:t>
            </w:r>
            <w:r>
              <w:rPr>
                <w:rFonts w:hint="eastAsia" w:ascii="Times New Roman" w:hAnsi="Times New Roman" w:eastAsia="宋体" w:cs="Times New Roman"/>
                <w:kern w:val="0"/>
                <w:sz w:val="22"/>
                <w:szCs w:val="22"/>
                <w:vertAlign w:val="subscript"/>
              </w:rPr>
              <w:t>V</w:t>
            </w:r>
            <w:r>
              <w:rPr>
                <w:rFonts w:hint="eastAsia" w:ascii="Times New Roman" w:hAnsi="Times New Roman" w:eastAsia="宋体" w:cs="Times New Roman"/>
                <w:kern w:val="0"/>
                <w:sz w:val="22"/>
                <w:szCs w:val="22"/>
              </w:rPr>
              <w:t>－</w:t>
            </w:r>
            <w:r>
              <w:rPr>
                <w:rFonts w:ascii="Times New Roman" w:hAnsi="Times New Roman" w:eastAsia="宋体" w:cs="Times New Roman"/>
                <w:kern w:val="0"/>
                <w:sz w:val="22"/>
                <w:szCs w:val="22"/>
              </w:rPr>
              <w:t>710</w:t>
            </w:r>
            <w:r>
              <w:rPr>
                <w:rFonts w:hint="eastAsia" w:ascii="Times New Roman" w:hAnsi="Times New Roman" w:eastAsia="宋体" w:cs="Times New Roman"/>
                <w:kern w:val="0"/>
                <w:sz w:val="22"/>
                <w:szCs w:val="22"/>
              </w:rPr>
              <w:t>H</w:t>
            </w:r>
            <w:r>
              <w:rPr>
                <w:rFonts w:hint="eastAsia" w:ascii="Times New Roman" w:hAnsi="Times New Roman" w:eastAsia="宋体" w:cs="Times New Roman"/>
                <w:kern w:val="0"/>
                <w:sz w:val="22"/>
                <w:szCs w:val="22"/>
                <w:vertAlign w:val="subscript"/>
              </w:rPr>
              <w:t>V</w:t>
            </w:r>
          </w:p>
        </w:tc>
      </w:tr>
      <w:tr>
        <w:tblPrEx>
          <w:tblBorders>
            <w:top w:val="single" w:color="008000" w:sz="12" w:space="0"/>
            <w:left w:val="none" w:color="auto" w:sz="0" w:space="0"/>
            <w:bottom w:val="single" w:color="008000"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1" w:hRule="atLeast"/>
          <w:jc w:val="center"/>
        </w:trPr>
        <w:tc>
          <w:tcPr>
            <w:tcW w:w="2388" w:type="dxa"/>
            <w:vAlign w:val="top"/>
          </w:tcPr>
          <w:p>
            <w:pPr>
              <w:spacing w:after="60" w:line="240" w:lineRule="auto"/>
              <w:jc w:val="center"/>
              <w:rPr>
                <w:rFonts w:ascii="Times New Roman" w:hAnsi="Times New Roman" w:eastAsia="宋体" w:cs="Times New Roman"/>
                <w:kern w:val="0"/>
                <w:sz w:val="22"/>
                <w:szCs w:val="22"/>
              </w:rPr>
            </w:pPr>
            <w:r>
              <w:rPr>
                <w:rFonts w:hint="eastAsia" w:ascii="Times New Roman" w:hAnsi="Times New Roman" w:eastAsia="宋体" w:cs="Times New Roman"/>
                <w:kern w:val="0"/>
                <w:sz w:val="22"/>
                <w:szCs w:val="22"/>
              </w:rPr>
              <w:t>线胀系数</w:t>
            </w:r>
          </w:p>
        </w:tc>
        <w:tc>
          <w:tcPr>
            <w:tcW w:w="4399" w:type="dxa"/>
            <w:vAlign w:val="top"/>
          </w:tcPr>
          <w:p>
            <w:pPr>
              <w:spacing w:after="60" w:line="240" w:lineRule="auto"/>
              <w:jc w:val="center"/>
              <w:rPr>
                <w:rFonts w:ascii="Times New Roman" w:hAnsi="Times New Roman" w:eastAsia="宋体" w:cs="Times New Roman"/>
                <w:kern w:val="0"/>
                <w:sz w:val="22"/>
                <w:szCs w:val="22"/>
              </w:rPr>
            </w:pPr>
            <w:r>
              <w:rPr>
                <w:rFonts w:ascii="Times New Roman" w:hAnsi="Times New Roman" w:eastAsia="宋体" w:cs="Times New Roman"/>
                <w:kern w:val="0"/>
                <w:sz w:val="22"/>
                <w:szCs w:val="22"/>
              </w:rPr>
              <w:t>13.6</w:t>
            </w:r>
            <w:r>
              <w:rPr>
                <w:rFonts w:hint="eastAsia" w:ascii="Times New Roman" w:hAnsi="Times New Roman" w:eastAsia="宋体" w:cs="Times New Roman"/>
                <w:kern w:val="0"/>
                <w:sz w:val="22"/>
                <w:szCs w:val="22"/>
              </w:rPr>
              <w:t>－</w:t>
            </w:r>
            <w:r>
              <w:rPr>
                <w:rFonts w:ascii="Times New Roman" w:hAnsi="Times New Roman" w:eastAsia="宋体" w:cs="Times New Roman"/>
                <w:kern w:val="0"/>
                <w:sz w:val="22"/>
                <w:szCs w:val="22"/>
              </w:rPr>
              <w:t>14.2</w:t>
            </w:r>
            <w:r>
              <w:rPr>
                <w:rFonts w:hint="eastAsia" w:ascii="宋体" w:hAnsi="宋体" w:eastAsia="宋体" w:cs="Times New Roman"/>
                <w:kern w:val="0"/>
                <w:sz w:val="22"/>
                <w:szCs w:val="22"/>
              </w:rPr>
              <w:t>℃</w:t>
            </w:r>
            <w:r>
              <w:rPr>
                <w:rFonts w:hint="eastAsia" w:ascii="Times New Roman" w:hAnsi="Times New Roman" w:eastAsia="宋体" w:cs="Times New Roman"/>
                <w:kern w:val="0"/>
                <w:sz w:val="22"/>
                <w:szCs w:val="22"/>
                <w:vertAlign w:val="superscript"/>
              </w:rPr>
              <w:t>-1</w:t>
            </w:r>
            <w:r>
              <w:rPr>
                <w:rFonts w:ascii="Times New Roman" w:hAnsi="Times New Roman" w:eastAsia="宋体" w:cs="Times New Roman"/>
                <w:kern w:val="0"/>
                <w:sz w:val="22"/>
                <w:szCs w:val="22"/>
              </w:rPr>
              <w:t>（与钢相同）</w:t>
            </w:r>
          </w:p>
        </w:tc>
      </w:tr>
      <w:tr>
        <w:tblPrEx>
          <w:tblBorders>
            <w:top w:val="single" w:color="008000" w:sz="12" w:space="0"/>
            <w:left w:val="none" w:color="auto" w:sz="0" w:space="0"/>
            <w:bottom w:val="single" w:color="008000"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1" w:hRule="atLeast"/>
          <w:jc w:val="center"/>
        </w:trPr>
        <w:tc>
          <w:tcPr>
            <w:tcW w:w="2388" w:type="dxa"/>
            <w:vAlign w:val="top"/>
          </w:tcPr>
          <w:p>
            <w:pPr>
              <w:spacing w:after="60" w:line="240" w:lineRule="auto"/>
              <w:jc w:val="center"/>
              <w:rPr>
                <w:rFonts w:ascii="Times New Roman" w:hAnsi="Times New Roman" w:eastAsia="宋体" w:cs="Times New Roman"/>
                <w:kern w:val="0"/>
                <w:sz w:val="22"/>
                <w:szCs w:val="22"/>
              </w:rPr>
            </w:pPr>
            <w:r>
              <w:rPr>
                <w:rFonts w:hint="eastAsia" w:ascii="Times New Roman" w:hAnsi="Times New Roman" w:eastAsia="宋体" w:cs="Times New Roman"/>
                <w:kern w:val="0"/>
                <w:sz w:val="22"/>
                <w:szCs w:val="22"/>
              </w:rPr>
              <w:t>冲击强度</w:t>
            </w:r>
          </w:p>
        </w:tc>
        <w:tc>
          <w:tcPr>
            <w:tcW w:w="4399" w:type="dxa"/>
            <w:vAlign w:val="top"/>
          </w:tcPr>
          <w:p>
            <w:pPr>
              <w:spacing w:after="60" w:line="240" w:lineRule="auto"/>
              <w:jc w:val="center"/>
              <w:rPr>
                <w:rFonts w:ascii="Times New Roman" w:hAnsi="Times New Roman" w:eastAsia="宋体" w:cs="Times New Roman"/>
                <w:kern w:val="0"/>
                <w:sz w:val="22"/>
                <w:szCs w:val="22"/>
              </w:rPr>
            </w:pPr>
            <w:r>
              <w:rPr>
                <w:rFonts w:ascii="Times New Roman" w:hAnsi="Times New Roman" w:eastAsia="宋体" w:cs="Times New Roman"/>
                <w:kern w:val="0"/>
                <w:sz w:val="22"/>
                <w:szCs w:val="22"/>
              </w:rPr>
              <w:t>50</w:t>
            </w:r>
            <w:r>
              <w:rPr>
                <w:rFonts w:hint="eastAsia" w:ascii="Times New Roman" w:hAnsi="Times New Roman" w:eastAsia="宋体" w:cs="Times New Roman"/>
                <w:kern w:val="0"/>
                <w:sz w:val="22"/>
                <w:szCs w:val="22"/>
              </w:rPr>
              <w:t xml:space="preserve"> </w:t>
            </w:r>
            <w:r>
              <w:rPr>
                <w:rFonts w:ascii="Times New Roman" w:hAnsi="Times New Roman" w:eastAsia="宋体" w:cs="Times New Roman"/>
                <w:kern w:val="0"/>
                <w:sz w:val="22"/>
                <w:szCs w:val="22"/>
              </w:rPr>
              <w:t>kg/mm</w:t>
            </w:r>
            <w:r>
              <w:rPr>
                <w:rFonts w:ascii="Times New Roman" w:hAnsi="Times New Roman" w:eastAsia="宋体" w:cs="Times New Roman"/>
                <w:kern w:val="0"/>
                <w:sz w:val="22"/>
                <w:szCs w:val="22"/>
                <w:vertAlign w:val="superscript"/>
              </w:rPr>
              <w:t>2</w:t>
            </w:r>
          </w:p>
        </w:tc>
      </w:tr>
      <w:tr>
        <w:tblPrEx>
          <w:tblBorders>
            <w:top w:val="single" w:color="008000" w:sz="12" w:space="0"/>
            <w:left w:val="none" w:color="auto" w:sz="0" w:space="0"/>
            <w:bottom w:val="single" w:color="008000"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1" w:hRule="atLeast"/>
          <w:jc w:val="center"/>
        </w:trPr>
        <w:tc>
          <w:tcPr>
            <w:tcW w:w="2388" w:type="dxa"/>
            <w:vAlign w:val="top"/>
          </w:tcPr>
          <w:p>
            <w:pPr>
              <w:spacing w:after="60" w:line="240" w:lineRule="auto"/>
              <w:jc w:val="center"/>
              <w:rPr>
                <w:rFonts w:ascii="Times New Roman" w:hAnsi="Times New Roman" w:eastAsia="宋体" w:cs="Times New Roman"/>
                <w:kern w:val="0"/>
                <w:sz w:val="22"/>
                <w:szCs w:val="22"/>
              </w:rPr>
            </w:pPr>
            <w:r>
              <w:rPr>
                <w:rFonts w:hint="eastAsia" w:ascii="Times New Roman" w:hAnsi="Times New Roman" w:eastAsia="宋体" w:cs="Times New Roman"/>
                <w:kern w:val="0"/>
                <w:sz w:val="22"/>
                <w:szCs w:val="22"/>
              </w:rPr>
              <w:t>耐高温</w:t>
            </w:r>
          </w:p>
        </w:tc>
        <w:tc>
          <w:tcPr>
            <w:tcW w:w="4399" w:type="dxa"/>
            <w:vAlign w:val="top"/>
          </w:tcPr>
          <w:p>
            <w:pPr>
              <w:spacing w:after="60" w:line="240" w:lineRule="auto"/>
              <w:jc w:val="center"/>
              <w:rPr>
                <w:rFonts w:ascii="Times New Roman" w:hAnsi="Times New Roman" w:eastAsia="宋体" w:cs="Times New Roman"/>
                <w:kern w:val="0"/>
                <w:sz w:val="22"/>
                <w:szCs w:val="22"/>
              </w:rPr>
            </w:pPr>
            <w:r>
              <w:rPr>
                <w:rFonts w:ascii="Times New Roman" w:hAnsi="Times New Roman" w:eastAsia="宋体" w:cs="Times New Roman"/>
                <w:kern w:val="0"/>
                <w:sz w:val="22"/>
                <w:szCs w:val="22"/>
              </w:rPr>
              <w:t>157</w:t>
            </w:r>
            <w:r>
              <w:rPr>
                <w:rFonts w:ascii="宋体" w:hAnsi="宋体" w:eastAsia="宋体" w:cs="Times New Roman"/>
                <w:kern w:val="0"/>
                <w:sz w:val="22"/>
                <w:szCs w:val="22"/>
              </w:rPr>
              <w:t>5</w:t>
            </w:r>
            <w:r>
              <w:rPr>
                <w:rFonts w:hint="eastAsia" w:ascii="宋体" w:hAnsi="宋体" w:eastAsia="宋体" w:cs="Times New Roman"/>
                <w:kern w:val="0"/>
                <w:sz w:val="22"/>
                <w:szCs w:val="22"/>
              </w:rPr>
              <w:t>℃</w:t>
            </w:r>
            <w:r>
              <w:rPr>
                <w:rFonts w:ascii="Times New Roman" w:hAnsi="Times New Roman" w:eastAsia="宋体" w:cs="Times New Roman"/>
                <w:kern w:val="0"/>
                <w:sz w:val="22"/>
                <w:szCs w:val="22"/>
                <w:vertAlign w:val="superscript"/>
              </w:rPr>
              <w:t xml:space="preserve"> </w:t>
            </w:r>
            <w:r>
              <w:rPr>
                <w:rFonts w:hint="eastAsia" w:ascii="Times New Roman" w:hAnsi="Times New Roman" w:eastAsia="宋体" w:cs="Times New Roman"/>
                <w:kern w:val="0"/>
                <w:sz w:val="22"/>
                <w:szCs w:val="22"/>
              </w:rPr>
              <w:t>－</w:t>
            </w:r>
            <w:r>
              <w:rPr>
                <w:rFonts w:ascii="Times New Roman" w:hAnsi="Times New Roman" w:eastAsia="宋体" w:cs="Times New Roman"/>
                <w:kern w:val="0"/>
                <w:sz w:val="22"/>
                <w:szCs w:val="22"/>
              </w:rPr>
              <w:t>1600</w:t>
            </w:r>
            <w:r>
              <w:rPr>
                <w:rFonts w:hint="eastAsia" w:ascii="宋体" w:hAnsi="宋体" w:eastAsia="宋体" w:cs="Times New Roman"/>
                <w:kern w:val="0"/>
                <w:sz w:val="22"/>
                <w:szCs w:val="22"/>
              </w:rPr>
              <w:t>℃</w:t>
            </w:r>
          </w:p>
        </w:tc>
      </w:tr>
      <w:tr>
        <w:tblPrEx>
          <w:tblBorders>
            <w:top w:val="single" w:color="008000" w:sz="12" w:space="0"/>
            <w:left w:val="none" w:color="auto" w:sz="0" w:space="0"/>
            <w:bottom w:val="single" w:color="008000"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1" w:hRule="atLeast"/>
          <w:jc w:val="center"/>
        </w:trPr>
        <w:tc>
          <w:tcPr>
            <w:tcW w:w="2388" w:type="dxa"/>
            <w:vAlign w:val="top"/>
          </w:tcPr>
          <w:p>
            <w:pPr>
              <w:spacing w:after="60" w:line="240" w:lineRule="auto"/>
              <w:jc w:val="center"/>
              <w:rPr>
                <w:rFonts w:ascii="Times New Roman" w:hAnsi="Times New Roman" w:eastAsia="宋体" w:cs="Times New Roman"/>
                <w:kern w:val="0"/>
                <w:sz w:val="22"/>
                <w:szCs w:val="22"/>
              </w:rPr>
            </w:pPr>
            <w:r>
              <w:rPr>
                <w:rFonts w:hint="eastAsia" w:ascii="Times New Roman" w:hAnsi="Times New Roman" w:eastAsia="宋体" w:cs="Times New Roman"/>
                <w:kern w:val="0"/>
                <w:sz w:val="22"/>
                <w:szCs w:val="22"/>
              </w:rPr>
              <w:t>耐腐蚀</w:t>
            </w:r>
          </w:p>
        </w:tc>
        <w:tc>
          <w:tcPr>
            <w:tcW w:w="4399" w:type="dxa"/>
            <w:vAlign w:val="top"/>
          </w:tcPr>
          <w:p>
            <w:pPr>
              <w:spacing w:after="60" w:line="240" w:lineRule="auto"/>
              <w:jc w:val="center"/>
              <w:rPr>
                <w:rFonts w:ascii="Times New Roman" w:hAnsi="Times New Roman" w:eastAsia="宋体" w:cs="Times New Roman"/>
                <w:kern w:val="0"/>
                <w:sz w:val="22"/>
                <w:szCs w:val="22"/>
              </w:rPr>
            </w:pPr>
            <w:r>
              <w:rPr>
                <w:rFonts w:hint="eastAsia" w:ascii="Times New Roman" w:hAnsi="Times New Roman" w:eastAsia="宋体" w:cs="Times New Roman"/>
                <w:kern w:val="0"/>
                <w:sz w:val="22"/>
                <w:szCs w:val="22"/>
              </w:rPr>
              <w:t>高湿度，海洋环境，酸、碱介质中不腐蚀</w:t>
            </w:r>
          </w:p>
        </w:tc>
      </w:tr>
      <w:tr>
        <w:tblPrEx>
          <w:tblBorders>
            <w:top w:val="single" w:color="008000" w:sz="12" w:space="0"/>
            <w:left w:val="none" w:color="auto" w:sz="0" w:space="0"/>
            <w:bottom w:val="single" w:color="008000"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0" w:hRule="atLeast"/>
          <w:jc w:val="center"/>
        </w:trPr>
        <w:tc>
          <w:tcPr>
            <w:tcW w:w="2388" w:type="dxa"/>
            <w:vAlign w:val="top"/>
          </w:tcPr>
          <w:p>
            <w:pPr>
              <w:spacing w:after="60" w:line="240" w:lineRule="auto"/>
              <w:jc w:val="center"/>
              <w:rPr>
                <w:rFonts w:ascii="Times New Roman" w:hAnsi="Times New Roman" w:eastAsia="宋体" w:cs="Times New Roman"/>
                <w:kern w:val="0"/>
                <w:sz w:val="22"/>
                <w:szCs w:val="22"/>
              </w:rPr>
            </w:pPr>
            <w:r>
              <w:rPr>
                <w:rFonts w:hint="eastAsia" w:ascii="Times New Roman" w:hAnsi="Times New Roman" w:eastAsia="宋体" w:cs="Times New Roman"/>
                <w:kern w:val="0"/>
                <w:sz w:val="22"/>
                <w:szCs w:val="22"/>
              </w:rPr>
              <w:t>表面粗糙度</w:t>
            </w:r>
          </w:p>
        </w:tc>
        <w:tc>
          <w:tcPr>
            <w:tcW w:w="4399" w:type="dxa"/>
            <w:vAlign w:val="top"/>
          </w:tcPr>
          <w:p>
            <w:pPr>
              <w:spacing w:after="60" w:line="240" w:lineRule="auto"/>
              <w:jc w:val="center"/>
              <w:rPr>
                <w:rFonts w:ascii="Times New Roman" w:hAnsi="Times New Roman" w:eastAsia="宋体" w:cs="Times New Roman"/>
                <w:kern w:val="0"/>
                <w:sz w:val="22"/>
                <w:szCs w:val="22"/>
              </w:rPr>
            </w:pPr>
            <w:r>
              <w:rPr>
                <w:rFonts w:hint="eastAsia" w:ascii="Times New Roman" w:hAnsi="Times New Roman" w:eastAsia="宋体" w:cs="Times New Roman"/>
                <w:kern w:val="0"/>
                <w:sz w:val="22"/>
                <w:szCs w:val="22"/>
              </w:rPr>
              <w:t>不低于14级</w:t>
            </w:r>
          </w:p>
        </w:tc>
      </w:tr>
    </w:tbl>
    <w:p>
      <w:pPr>
        <w:rPr>
          <w:rFonts w:hint="eastAsia"/>
          <w:b/>
          <w:bCs/>
        </w:rPr>
      </w:pPr>
    </w:p>
    <w:p>
      <w:pPr>
        <w:rPr>
          <w:rFonts w:hint="eastAsia"/>
          <w:b/>
          <w:bCs/>
        </w:rPr>
      </w:pPr>
      <w:r>
        <w:rPr>
          <w:rFonts w:hint="eastAsia"/>
          <w:b/>
          <w:bCs/>
        </w:rPr>
        <w:t>修复层生成的机理</w:t>
      </w:r>
      <w:r>
        <w:rPr>
          <w:rFonts w:hint="eastAsia"/>
          <w:b/>
          <w:bCs/>
          <w:lang w:val="en-US" w:eastAsia="zh-CN"/>
        </w:rPr>
        <w:t>:</w:t>
      </w:r>
    </w:p>
    <w:p>
      <w:pPr>
        <w:rPr>
          <w:rFonts w:hint="eastAsia"/>
          <w:b/>
          <w:bCs/>
        </w:rPr>
      </w:pPr>
    </w:p>
    <w:p>
      <w:r>
        <w:rPr>
          <w:rFonts w:hint="eastAsia"/>
          <w:b/>
          <w:bCs/>
        </w:rPr>
        <w:t>★</w:t>
      </w:r>
      <w:r>
        <w:rPr>
          <w:b/>
          <w:bCs/>
        </w:rPr>
        <w:t xml:space="preserve"> </w:t>
      </w:r>
      <w:r>
        <w:rPr>
          <w:rFonts w:hint="eastAsia"/>
          <w:b/>
          <w:bCs/>
        </w:rPr>
        <w:t>氧化机械抛光（</w:t>
      </w:r>
      <w:r>
        <w:rPr>
          <w:b/>
          <w:bCs/>
          <w:lang/>
        </w:rPr>
        <w:t>O</w:t>
      </w:r>
      <w:r>
        <w:rPr>
          <w:b/>
          <w:bCs/>
        </w:rPr>
        <w:t>xidative Mechanical Polish</w:t>
      </w:r>
      <w:r>
        <w:rPr>
          <w:rFonts w:hint="eastAsia"/>
          <w:b/>
          <w:bCs/>
        </w:rPr>
        <w:t>）</w:t>
      </w:r>
    </w:p>
    <w:p>
      <w:r>
        <w:rPr>
          <w:rFonts w:hint="eastAsia"/>
          <w:b/>
          <w:bCs/>
        </w:rPr>
        <w:t>修复剂主成分羟基硅酸镁，</w:t>
      </w:r>
      <w:r>
        <w:rPr>
          <w:b/>
          <w:bCs/>
        </w:rPr>
        <w:t>Mg</w:t>
      </w:r>
      <w:r>
        <w:rPr>
          <w:b/>
          <w:bCs/>
          <w:vertAlign w:val="subscript"/>
        </w:rPr>
        <w:t>6</w:t>
      </w:r>
      <w:r>
        <w:rPr>
          <w:b/>
          <w:bCs/>
        </w:rPr>
        <w:t>Si</w:t>
      </w:r>
      <w:r>
        <w:rPr>
          <w:b/>
          <w:bCs/>
          <w:vertAlign w:val="subscript"/>
        </w:rPr>
        <w:t>4</w:t>
      </w:r>
      <w:r>
        <w:rPr>
          <w:b/>
          <w:bCs/>
        </w:rPr>
        <w:t>O</w:t>
      </w:r>
      <w:r>
        <w:rPr>
          <w:b/>
          <w:bCs/>
          <w:vertAlign w:val="subscript"/>
        </w:rPr>
        <w:t>10</w:t>
      </w:r>
      <w:r>
        <w:rPr>
          <w:b/>
          <w:bCs/>
        </w:rPr>
        <w:t>(OH)</w:t>
      </w:r>
      <w:r>
        <w:rPr>
          <w:b/>
          <w:bCs/>
          <w:vertAlign w:val="subscript"/>
        </w:rPr>
        <w:t>8</w:t>
      </w:r>
      <w:r>
        <w:rPr>
          <w:rFonts w:hint="eastAsia"/>
          <w:b/>
          <w:bCs/>
        </w:rPr>
        <w:t>，在高剪切力和闪温的作用下解理并脱羟：分解为</w:t>
      </w:r>
      <w:r>
        <w:rPr>
          <w:b/>
          <w:bCs/>
        </w:rPr>
        <w:t>Mg</w:t>
      </w:r>
      <w:r>
        <w:rPr>
          <w:b/>
          <w:bCs/>
          <w:vertAlign w:val="superscript"/>
        </w:rPr>
        <w:t>2+</w:t>
      </w:r>
      <w:r>
        <w:rPr>
          <w:rFonts w:hint="eastAsia"/>
          <w:b/>
          <w:bCs/>
        </w:rPr>
        <w:t>和</w:t>
      </w:r>
      <w:r>
        <w:rPr>
          <w:b/>
          <w:bCs/>
        </w:rPr>
        <w:t>SiOx</w:t>
      </w:r>
      <w:r>
        <w:rPr>
          <w:rFonts w:hint="eastAsia"/>
          <w:b/>
          <w:bCs/>
        </w:rPr>
        <w:t xml:space="preserve">；释放游离氧 </w:t>
      </w:r>
      <w:r>
        <w:rPr>
          <w:b/>
          <w:bCs/>
        </w:rPr>
        <w:t>(O</w:t>
      </w:r>
      <w:r>
        <w:rPr>
          <w:b/>
          <w:bCs/>
          <w:vertAlign w:val="superscript"/>
        </w:rPr>
        <w:t>*-</w:t>
      </w:r>
      <w:r>
        <w:rPr>
          <w:rFonts w:hint="eastAsia"/>
          <w:b/>
          <w:bCs/>
        </w:rPr>
        <w:t xml:space="preserve">， </w:t>
      </w:r>
      <w:r>
        <w:rPr>
          <w:b/>
          <w:bCs/>
        </w:rPr>
        <w:t>O</w:t>
      </w:r>
      <w:r>
        <w:rPr>
          <w:rFonts w:hint="eastAsia"/>
          <w:b/>
          <w:bCs/>
        </w:rPr>
        <w:t>，</w:t>
      </w:r>
      <w:r>
        <w:rPr>
          <w:b/>
          <w:bCs/>
          <w:vertAlign w:val="superscript"/>
        </w:rPr>
        <w:t>*</w:t>
      </w:r>
      <w:r>
        <w:rPr>
          <w:rFonts w:hint="eastAsia"/>
          <w:b/>
          <w:bCs/>
        </w:rPr>
        <w:t>表示有一个未偶电子</w:t>
      </w:r>
      <w:r>
        <w:rPr>
          <w:b/>
          <w:bCs/>
        </w:rPr>
        <w:t xml:space="preserve">) </w:t>
      </w:r>
      <w:r>
        <w:rPr>
          <w:rFonts w:hint="eastAsia"/>
          <w:b/>
          <w:bCs/>
        </w:rPr>
        <w:t>，并生成自由水；进而生成</w:t>
      </w:r>
      <w:r>
        <w:rPr>
          <w:b/>
          <w:bCs/>
        </w:rPr>
        <w:t>SiO</w:t>
      </w:r>
      <w:r>
        <w:rPr>
          <w:b/>
          <w:bCs/>
          <w:vertAlign w:val="subscript"/>
        </w:rPr>
        <w:t>2</w:t>
      </w:r>
      <w:r>
        <w:rPr>
          <w:rFonts w:hint="eastAsia"/>
          <w:b/>
          <w:bCs/>
        </w:rPr>
        <w:t>并反应生成</w:t>
      </w:r>
      <w:r>
        <w:rPr>
          <w:b/>
          <w:bCs/>
        </w:rPr>
        <w:t>FexOy</w:t>
      </w:r>
      <w:r>
        <w:rPr>
          <w:rFonts w:hint="eastAsia"/>
          <w:b/>
          <w:bCs/>
        </w:rPr>
        <w:t>。游离氧和活性自由水氧化金属表面的微凸体，生成结合力远低于金属键的金属氧化物/金属键，</w:t>
      </w:r>
      <w:r>
        <w:rPr>
          <w:b/>
          <w:bCs/>
        </w:rPr>
        <w:t>SiO</w:t>
      </w:r>
      <w:r>
        <w:rPr>
          <w:b/>
          <w:bCs/>
          <w:vertAlign w:val="subscript"/>
        </w:rPr>
        <w:t>2</w:t>
      </w:r>
      <w:r>
        <w:rPr>
          <w:rFonts w:hint="eastAsia"/>
          <w:b/>
          <w:bCs/>
        </w:rPr>
        <w:t>和</w:t>
      </w:r>
      <w:r>
        <w:rPr>
          <w:b/>
          <w:bCs/>
        </w:rPr>
        <w:t>FexOy</w:t>
      </w:r>
      <w:r>
        <w:rPr>
          <w:rFonts w:hint="eastAsia"/>
          <w:b/>
          <w:bCs/>
        </w:rPr>
        <w:t>机械抛光表面，完成氧化抛光过程。</w:t>
      </w:r>
    </w:p>
    <w:p>
      <w:r>
        <w:rPr>
          <w:b/>
          <w:bCs/>
          <w:i/>
          <w:iCs/>
        </w:rPr>
        <w:t>Mg</w:t>
      </w:r>
      <w:r>
        <w:rPr>
          <w:b/>
          <w:bCs/>
          <w:i/>
          <w:iCs/>
          <w:vertAlign w:val="subscript"/>
        </w:rPr>
        <w:t>6</w:t>
      </w:r>
      <w:r>
        <w:rPr>
          <w:b/>
          <w:bCs/>
          <w:i/>
          <w:iCs/>
        </w:rPr>
        <w:t>Si</w:t>
      </w:r>
      <w:r>
        <w:rPr>
          <w:b/>
          <w:bCs/>
          <w:i/>
          <w:iCs/>
          <w:vertAlign w:val="subscript"/>
        </w:rPr>
        <w:t>4</w:t>
      </w:r>
      <w:r>
        <w:rPr>
          <w:b/>
          <w:bCs/>
          <w:i/>
          <w:iCs/>
        </w:rPr>
        <w:t>O</w:t>
      </w:r>
      <w:r>
        <w:rPr>
          <w:b/>
          <w:bCs/>
          <w:i/>
          <w:iCs/>
          <w:vertAlign w:val="subscript"/>
        </w:rPr>
        <w:t>10</w:t>
      </w:r>
      <w:r>
        <w:rPr>
          <w:b/>
          <w:bCs/>
          <w:i/>
          <w:iCs/>
        </w:rPr>
        <w:t>(OH)</w:t>
      </w:r>
      <w:r>
        <w:rPr>
          <w:b/>
          <w:bCs/>
          <w:i/>
          <w:iCs/>
          <w:vertAlign w:val="subscript"/>
        </w:rPr>
        <w:t>8</w:t>
      </w:r>
      <w:r>
        <w:rPr>
          <w:rFonts w:hint="eastAsia"/>
          <w:b/>
          <w:bCs/>
          <w:i/>
          <w:iCs/>
        </w:rPr>
        <w:sym w:font="Symbol" w:char="00AE"/>
      </w:r>
      <w:r>
        <w:rPr>
          <w:b/>
          <w:bCs/>
          <w:i/>
          <w:iCs/>
        </w:rPr>
        <w:t>6Mg</w:t>
      </w:r>
      <w:r>
        <w:rPr>
          <w:b/>
          <w:bCs/>
          <w:i/>
          <w:iCs/>
          <w:vertAlign w:val="superscript"/>
        </w:rPr>
        <w:t>2+</w:t>
      </w:r>
      <w:r>
        <w:rPr>
          <w:b/>
          <w:bCs/>
          <w:i/>
          <w:iCs/>
        </w:rPr>
        <w:t>+4SiO</w:t>
      </w:r>
      <w:r>
        <w:rPr>
          <w:b/>
          <w:bCs/>
          <w:i/>
          <w:iCs/>
          <w:vertAlign w:val="subscript"/>
        </w:rPr>
        <w:t>2</w:t>
      </w:r>
      <w:r>
        <w:rPr>
          <w:b/>
          <w:bCs/>
          <w:i/>
          <w:iCs/>
        </w:rPr>
        <w:t xml:space="preserve"> +4H</w:t>
      </w:r>
      <w:r>
        <w:rPr>
          <w:b/>
          <w:bCs/>
          <w:i/>
          <w:iCs/>
          <w:vertAlign w:val="subscript"/>
        </w:rPr>
        <w:t>2</w:t>
      </w:r>
      <w:r>
        <w:rPr>
          <w:b/>
          <w:bCs/>
          <w:i/>
          <w:iCs/>
        </w:rPr>
        <w:t>O+6O</w:t>
      </w:r>
      <w:r>
        <w:rPr>
          <w:b/>
          <w:bCs/>
          <w:i/>
          <w:iCs/>
          <w:vertAlign w:val="superscript"/>
        </w:rPr>
        <w:t>2-</w:t>
      </w:r>
      <w:r>
        <w:rPr>
          <w:rFonts w:hint="eastAsia"/>
          <w:b/>
          <w:bCs/>
          <w:i/>
          <w:iCs/>
        </w:rPr>
        <w:t>；</w:t>
      </w:r>
    </w:p>
    <w:p>
      <w:r>
        <w:rPr>
          <w:b/>
          <w:bCs/>
          <w:i/>
          <w:iCs/>
        </w:rPr>
        <w:t>Fe</w:t>
      </w:r>
      <w:r>
        <w:rPr>
          <w:b/>
          <w:bCs/>
          <w:i/>
          <w:iCs/>
          <w:vertAlign w:val="superscript"/>
        </w:rPr>
        <w:t>0</w:t>
      </w:r>
      <w:r>
        <w:rPr>
          <w:b/>
          <w:bCs/>
          <w:i/>
          <w:iCs/>
        </w:rPr>
        <w:t>, Fe</w:t>
      </w:r>
      <w:r>
        <w:rPr>
          <w:b/>
          <w:bCs/>
          <w:i/>
          <w:iCs/>
          <w:vertAlign w:val="superscript"/>
        </w:rPr>
        <w:t>n+</w:t>
      </w:r>
      <w:r>
        <w:rPr>
          <w:b/>
          <w:bCs/>
          <w:i/>
          <w:iCs/>
        </w:rPr>
        <w:t xml:space="preserve"> (EEE) + O</w:t>
      </w:r>
      <w:r>
        <w:rPr>
          <w:b/>
          <w:bCs/>
          <w:i/>
          <w:iCs/>
          <w:vertAlign w:val="superscript"/>
        </w:rPr>
        <w:t>2-</w:t>
      </w:r>
      <w:r>
        <w:rPr>
          <w:b/>
          <w:bCs/>
          <w:i/>
          <w:iCs/>
        </w:rPr>
        <w:t xml:space="preserve"> </w:t>
      </w:r>
      <w:r>
        <w:rPr>
          <w:rFonts w:hint="eastAsia"/>
          <w:b/>
          <w:bCs/>
          <w:i/>
          <w:iCs/>
        </w:rPr>
        <w:sym w:font="Symbol" w:char="00AE"/>
      </w:r>
      <w:r>
        <w:rPr>
          <w:b/>
          <w:bCs/>
          <w:i/>
          <w:iCs/>
        </w:rPr>
        <w:t xml:space="preserve"> FexOy</w:t>
      </w:r>
      <w:r>
        <w:rPr>
          <w:rFonts w:hint="eastAsia"/>
          <w:b/>
          <w:bCs/>
          <w:i/>
          <w:iCs/>
        </w:rPr>
        <w:t>；</w:t>
      </w:r>
    </w:p>
    <w:p>
      <w:r>
        <w:rPr>
          <w:b/>
          <w:bCs/>
          <w:i/>
          <w:iCs/>
        </w:rPr>
        <w:t>Fe</w:t>
      </w:r>
      <w:r>
        <w:rPr>
          <w:b/>
          <w:bCs/>
          <w:i/>
          <w:iCs/>
          <w:vertAlign w:val="superscript"/>
        </w:rPr>
        <w:t>0</w:t>
      </w:r>
      <w:r>
        <w:rPr>
          <w:b/>
          <w:bCs/>
          <w:i/>
          <w:iCs/>
        </w:rPr>
        <w:t>, Fe</w:t>
      </w:r>
      <w:r>
        <w:rPr>
          <w:b/>
          <w:bCs/>
          <w:i/>
          <w:iCs/>
          <w:vertAlign w:val="superscript"/>
        </w:rPr>
        <w:t>n+</w:t>
      </w:r>
      <w:r>
        <w:rPr>
          <w:b/>
          <w:bCs/>
          <w:i/>
          <w:iCs/>
        </w:rPr>
        <w:t>(EEE) + H</w:t>
      </w:r>
      <w:r>
        <w:rPr>
          <w:b/>
          <w:bCs/>
          <w:i/>
          <w:iCs/>
          <w:vertAlign w:val="subscript"/>
        </w:rPr>
        <w:t>2</w:t>
      </w:r>
      <w:r>
        <w:rPr>
          <w:b/>
          <w:bCs/>
          <w:i/>
          <w:iCs/>
        </w:rPr>
        <w:t>O + O</w:t>
      </w:r>
      <w:r>
        <w:rPr>
          <w:b/>
          <w:bCs/>
          <w:i/>
          <w:iCs/>
          <w:vertAlign w:val="subscript"/>
        </w:rPr>
        <w:t>2</w:t>
      </w:r>
      <w:r>
        <w:rPr>
          <w:rFonts w:hint="eastAsia"/>
          <w:b/>
          <w:bCs/>
          <w:i/>
          <w:iCs/>
        </w:rPr>
        <w:sym w:font="Symbol" w:char="00AE"/>
      </w:r>
      <w:r>
        <w:rPr>
          <w:b/>
          <w:bCs/>
          <w:i/>
          <w:iCs/>
        </w:rPr>
        <w:t xml:space="preserve"> Fex(OH)y</w:t>
      </w:r>
    </w:p>
    <w:p>
      <w:r>
        <w:rPr>
          <w:b/>
          <w:bCs/>
          <w:i/>
          <w:iCs/>
        </w:rPr>
        <w:t>Fe</w:t>
      </w:r>
      <w:r>
        <w:rPr>
          <w:b/>
          <w:bCs/>
          <w:i/>
          <w:iCs/>
          <w:vertAlign w:val="superscript"/>
        </w:rPr>
        <w:t xml:space="preserve">0 </w:t>
      </w:r>
      <w:r>
        <w:rPr>
          <w:b/>
          <w:bCs/>
          <w:i/>
          <w:iCs/>
        </w:rPr>
        <w:t>(Novel-fresh iron surface)</w:t>
      </w:r>
      <w:r>
        <w:rPr>
          <w:rFonts w:hint="eastAsia"/>
          <w:b/>
          <w:bCs/>
          <w:i/>
          <w:iCs/>
        </w:rPr>
        <w:t>；</w:t>
      </w:r>
      <w:r>
        <w:rPr>
          <w:b/>
          <w:bCs/>
          <w:i/>
          <w:iCs/>
        </w:rPr>
        <w:t xml:space="preserve"> </w:t>
      </w:r>
    </w:p>
    <w:p>
      <w:pPr>
        <w:rPr>
          <w:b/>
          <w:bCs/>
          <w:i/>
          <w:iCs/>
        </w:rPr>
      </w:pPr>
      <w:r>
        <w:rPr>
          <w:b/>
          <w:bCs/>
          <w:i/>
          <w:iCs/>
        </w:rPr>
        <w:t>Fe</w:t>
      </w:r>
      <w:r>
        <w:rPr>
          <w:b/>
          <w:bCs/>
          <w:i/>
          <w:iCs/>
          <w:vertAlign w:val="superscript"/>
        </w:rPr>
        <w:t>n+</w:t>
      </w:r>
      <w:r>
        <w:rPr>
          <w:b/>
          <w:bCs/>
          <w:i/>
          <w:iCs/>
        </w:rPr>
        <w:t xml:space="preserve"> (EEE) (</w:t>
      </w:r>
      <w:r>
        <w:rPr>
          <w:b/>
          <w:bCs/>
          <w:i/>
          <w:iCs/>
          <w:lang/>
        </w:rPr>
        <w:t>Exo-Electron Emission iron surface</w:t>
      </w:r>
      <w:r>
        <w:rPr>
          <w:b/>
          <w:bCs/>
          <w:i/>
          <w:iCs/>
        </w:rPr>
        <w:t>)</w:t>
      </w:r>
    </w:p>
    <w:p>
      <w:pPr>
        <w:rPr>
          <w:b/>
          <w:bCs/>
          <w:i/>
          <w:iCs/>
        </w:rPr>
      </w:pPr>
    </w:p>
    <w:p>
      <w:pPr>
        <w:rPr>
          <w:b/>
          <w:bCs/>
          <w:i/>
          <w:iCs/>
        </w:rPr>
      </w:pPr>
    </w:p>
    <w:p>
      <w:r>
        <w:rPr>
          <w:rFonts w:hint="eastAsia"/>
          <w:b/>
          <w:bCs/>
        </w:rPr>
        <w:t>★  润滑油碳化石墨化</w:t>
      </w:r>
      <w:r>
        <w:rPr>
          <w:b/>
          <w:bCs/>
        </w:rPr>
        <w:t xml:space="preserve"> </w:t>
      </w:r>
    </w:p>
    <w:p>
      <w:r>
        <w:rPr>
          <w:rFonts w:hint="eastAsia"/>
          <w:b/>
          <w:bCs/>
        </w:rPr>
        <w:t>（</w:t>
      </w:r>
      <w:r>
        <w:rPr>
          <w:b/>
          <w:bCs/>
        </w:rPr>
        <w:t>Oil Carbonization and G</w:t>
      </w:r>
      <w:r>
        <w:rPr>
          <w:b/>
          <w:bCs/>
          <w:lang/>
        </w:rPr>
        <w:t>raphitization</w:t>
      </w:r>
      <w:r>
        <w:rPr>
          <w:rFonts w:hint="eastAsia"/>
          <w:b/>
          <w:bCs/>
        </w:rPr>
        <w:t>）</w:t>
      </w:r>
    </w:p>
    <w:p>
      <w:r>
        <w:rPr>
          <w:rFonts w:hint="eastAsia"/>
          <w:b/>
          <w:bCs/>
        </w:rPr>
        <w:t>铁基金属摩擦副和含修复剂的润滑油组分为基础油碳化和石墨化提供反应场所和催化物种。修复剂成分中既含有酸碱催化反应的最活泼催化剂组成元素，也含有氧化还原反应的最活泼催化剂组成元素。含修复剂的润滑油比同类油碳化程度高，且能生成大量高活性的纳米级碳质颗粒。油液中的这类高活性纳米级碳质颗粒与铁氧体反应生成</w:t>
      </w:r>
      <w:r>
        <w:rPr>
          <w:b/>
          <w:bCs/>
        </w:rPr>
        <w:t>Fe</w:t>
      </w:r>
      <w:r>
        <w:rPr>
          <w:b/>
          <w:bCs/>
          <w:vertAlign w:val="subscript"/>
        </w:rPr>
        <w:t>3</w:t>
      </w:r>
      <w:r>
        <w:rPr>
          <w:b/>
          <w:bCs/>
        </w:rPr>
        <w:t>C</w:t>
      </w:r>
      <w:r>
        <w:rPr>
          <w:rFonts w:hint="eastAsia"/>
          <w:b/>
          <w:bCs/>
        </w:rPr>
        <w:t>相和石墨颗粒。</w:t>
      </w:r>
    </w:p>
    <w:p>
      <w:r>
        <w:rPr>
          <w:b/>
          <w:bCs/>
          <w:i/>
          <w:iCs/>
        </w:rPr>
        <w:t>Fe</w:t>
      </w:r>
      <w:r>
        <w:rPr>
          <w:b/>
          <w:bCs/>
          <w:i/>
          <w:iCs/>
          <w:vertAlign w:val="subscript"/>
        </w:rPr>
        <w:t>2</w:t>
      </w:r>
      <w:r>
        <w:rPr>
          <w:b/>
          <w:bCs/>
          <w:i/>
          <w:iCs/>
        </w:rPr>
        <w:t>O</w:t>
      </w:r>
      <w:r>
        <w:rPr>
          <w:b/>
          <w:bCs/>
          <w:i/>
          <w:iCs/>
          <w:vertAlign w:val="subscript"/>
        </w:rPr>
        <w:t>3</w:t>
      </w:r>
      <w:r>
        <w:rPr>
          <w:b/>
          <w:bCs/>
          <w:i/>
          <w:iCs/>
        </w:rPr>
        <w:t xml:space="preserve"> + C → Fe + CO·CO</w:t>
      </w:r>
      <w:r>
        <w:rPr>
          <w:b/>
          <w:bCs/>
          <w:i/>
          <w:iCs/>
          <w:vertAlign w:val="subscript"/>
        </w:rPr>
        <w:t>2</w:t>
      </w:r>
      <w:r>
        <w:rPr>
          <w:rFonts w:hint="eastAsia"/>
          <w:b/>
          <w:bCs/>
          <w:i/>
          <w:iCs/>
        </w:rPr>
        <w:t xml:space="preserve">；  </w:t>
      </w:r>
      <w:r>
        <w:rPr>
          <w:b/>
          <w:bCs/>
          <w:i/>
          <w:iCs/>
        </w:rPr>
        <w:t>Fe + C → Fe</w:t>
      </w:r>
      <w:r>
        <w:rPr>
          <w:b/>
          <w:bCs/>
          <w:i/>
          <w:iCs/>
          <w:vertAlign w:val="subscript"/>
        </w:rPr>
        <w:t>3</w:t>
      </w:r>
      <w:r>
        <w:rPr>
          <w:b/>
          <w:bCs/>
          <w:i/>
          <w:iCs/>
        </w:rPr>
        <w:t>C</w:t>
      </w:r>
      <w:r>
        <w:rPr>
          <w:rFonts w:hint="eastAsia"/>
          <w:b/>
          <w:bCs/>
          <w:i/>
          <w:iCs/>
        </w:rPr>
        <w:t xml:space="preserve">； </w:t>
      </w:r>
    </w:p>
    <w:p>
      <w:r>
        <w:rPr>
          <w:b/>
          <w:bCs/>
          <w:i/>
          <w:iCs/>
        </w:rPr>
        <w:t>Fe</w:t>
      </w:r>
      <w:r>
        <w:rPr>
          <w:b/>
          <w:bCs/>
          <w:i/>
          <w:iCs/>
          <w:vertAlign w:val="subscript"/>
        </w:rPr>
        <w:t>3</w:t>
      </w:r>
      <w:r>
        <w:rPr>
          <w:b/>
          <w:bCs/>
          <w:i/>
          <w:iCs/>
        </w:rPr>
        <w:t>C → Fe↑+ C</w:t>
      </w:r>
      <w:r>
        <w:rPr>
          <w:rFonts w:hint="eastAsia"/>
          <w:b/>
          <w:bCs/>
          <w:i/>
          <w:iCs/>
        </w:rPr>
        <w:t>（易石墨化碳）→石墨</w:t>
      </w:r>
    </w:p>
    <w:p/>
    <w:p/>
    <w:p>
      <w:r>
        <w:rPr>
          <w:rFonts w:hint="eastAsia"/>
          <w:b/>
          <w:bCs/>
        </w:rPr>
        <w:t>★  机械合金化（</w:t>
      </w:r>
      <w:r>
        <w:rPr>
          <w:b/>
          <w:bCs/>
          <w:lang/>
        </w:rPr>
        <w:t>M</w:t>
      </w:r>
      <w:r>
        <w:rPr>
          <w:b/>
          <w:bCs/>
        </w:rPr>
        <w:t xml:space="preserve">echanical Alloying </w:t>
      </w:r>
      <w:r>
        <w:rPr>
          <w:rFonts w:hint="eastAsia"/>
          <w:b/>
          <w:bCs/>
        </w:rPr>
        <w:t>）</w:t>
      </w:r>
      <w:r>
        <w:rPr>
          <w:b/>
          <w:bCs/>
        </w:rPr>
        <w:t xml:space="preserve"> </w:t>
      </w:r>
    </w:p>
    <w:p>
      <w:r>
        <w:rPr>
          <w:rFonts w:hint="eastAsia"/>
          <w:b/>
          <w:bCs/>
        </w:rPr>
        <w:t>高化学活性的新鲜金属表面与充满大量纳米级铁氧体，铁碳体和碳质颗粒的油液构成反应体系。摩擦产生的电场和弱磁场，使油液中的颗粒富集在摩擦表面，摩擦副相对运动带动微凸体对这些颗粒施加剪切和挤压应力，进行机械合金化。微凸体不断运动碰撞，不能稳定存在，微凸体表面机械合金化也会发生。机械合金化生成的纳米晶结构层不断生长，实现对表面的平整修复，在整个摩擦表面形成修复层，完成修复作用。</w:t>
      </w:r>
    </w:p>
    <w:p/>
    <w:p>
      <w:r>
        <w:rPr>
          <w:rFonts w:hint="eastAsia"/>
          <w:b/>
          <w:bCs/>
        </w:rPr>
        <w:t>修复层生成示意图</w:t>
      </w:r>
    </w:p>
    <w:p>
      <w:r>
        <w:rPr>
          <w:rFonts w:ascii="Calibri" w:hAnsi="Calibri" w:eastAsia="宋体"/>
          <w:kern w:val="2"/>
          <w:sz w:val="21"/>
          <w:szCs w:val="22"/>
          <w:lang w:val="en-US" w:eastAsia="zh-CN" w:bidi="ar-SA"/>
        </w:rPr>
        <w:pict>
          <v:shape id="图片 1" o:spid="_x0000_s1028" type="#_x0000_t75" style="height:100.4pt;width:415.3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
      <w:pPr>
        <w:numPr>
          <w:ilvl w:val="0"/>
          <w:numId w:val="1"/>
        </w:numPr>
      </w:pPr>
      <w:r>
        <w:rPr>
          <w:rFonts w:hint="eastAsia"/>
          <w:b/>
          <w:bCs/>
        </w:rPr>
        <w:t xml:space="preserve">蛇纹石超基性岩, </w:t>
      </w:r>
      <w:r>
        <w:rPr>
          <w:b/>
          <w:bCs/>
        </w:rPr>
        <w:t>Mg</w:t>
      </w:r>
      <w:r>
        <w:rPr>
          <w:b/>
          <w:bCs/>
          <w:vertAlign w:val="subscript"/>
        </w:rPr>
        <w:t>6</w:t>
      </w:r>
      <w:r>
        <w:rPr>
          <w:b/>
          <w:bCs/>
        </w:rPr>
        <w:t>Si</w:t>
      </w:r>
      <w:r>
        <w:rPr>
          <w:b/>
          <w:bCs/>
          <w:vertAlign w:val="subscript"/>
        </w:rPr>
        <w:t>4</w:t>
      </w:r>
      <w:r>
        <w:rPr>
          <w:b/>
          <w:bCs/>
        </w:rPr>
        <w:t>O</w:t>
      </w:r>
      <w:r>
        <w:rPr>
          <w:b/>
          <w:bCs/>
          <w:vertAlign w:val="subscript"/>
        </w:rPr>
        <w:t>10</w:t>
      </w:r>
      <w:r>
        <w:rPr>
          <w:b/>
          <w:bCs/>
        </w:rPr>
        <w:t>(OH)</w:t>
      </w:r>
      <w:r>
        <w:rPr>
          <w:b/>
          <w:bCs/>
          <w:vertAlign w:val="subscript"/>
        </w:rPr>
        <w:t>8</w:t>
      </w:r>
      <w:r>
        <w:rPr>
          <w:rFonts w:hint="eastAsia"/>
          <w:b/>
          <w:bCs/>
        </w:rPr>
        <w:t>,作为修复  剂的主成分为修复过程提供活性组分：活性氧、自由水、</w:t>
      </w:r>
      <w:r>
        <w:rPr>
          <w:b/>
          <w:bCs/>
        </w:rPr>
        <w:t>SiO</w:t>
      </w:r>
      <w:r>
        <w:rPr>
          <w:b/>
          <w:bCs/>
          <w:vertAlign w:val="subscript"/>
        </w:rPr>
        <w:t>x</w:t>
      </w:r>
      <w:r>
        <w:rPr>
          <w:rFonts w:hint="eastAsia"/>
          <w:b/>
          <w:bCs/>
        </w:rPr>
        <w:t>和</w:t>
      </w:r>
      <w:r>
        <w:rPr>
          <w:b/>
          <w:bCs/>
        </w:rPr>
        <w:t>Mg</w:t>
      </w:r>
      <w:r>
        <w:rPr>
          <w:b/>
          <w:bCs/>
          <w:vertAlign w:val="superscript"/>
        </w:rPr>
        <w:t>2+</w:t>
      </w:r>
      <w:r>
        <w:rPr>
          <w:rFonts w:hint="eastAsia"/>
          <w:b/>
          <w:bCs/>
        </w:rPr>
        <w:t>;</w:t>
      </w:r>
    </w:p>
    <w:p>
      <w:pPr>
        <w:numPr>
          <w:ilvl w:val="0"/>
          <w:numId w:val="1"/>
        </w:numPr>
      </w:pPr>
      <w:r>
        <w:rPr>
          <w:rFonts w:hint="eastAsia"/>
          <w:b/>
          <w:bCs/>
        </w:rPr>
        <w:t>修复剂的另一个重要作用是提高润滑油裂解碳化程度，生成大量高活性的纳米级碳质颗粒;</w:t>
      </w:r>
    </w:p>
    <w:p>
      <w:pPr>
        <w:numPr>
          <w:ilvl w:val="0"/>
          <w:numId w:val="1"/>
        </w:numPr>
      </w:pPr>
      <w:r>
        <w:rPr>
          <w:rFonts w:hint="eastAsia"/>
          <w:b/>
          <w:bCs/>
        </w:rPr>
        <w:t>修复作用机理由氧化机械抛光、润滑油裂解碳化和表面机械合金化三个相互关联的过程构成;</w:t>
      </w:r>
    </w:p>
    <w:p>
      <w:pPr>
        <w:numPr>
          <w:ilvl w:val="0"/>
          <w:numId w:val="1"/>
        </w:numPr>
      </w:pPr>
      <w:r>
        <w:rPr>
          <w:rFonts w:hint="eastAsia"/>
          <w:b/>
          <w:bCs/>
        </w:rPr>
        <w:t>自修复层由含</w:t>
      </w:r>
      <w:r>
        <w:rPr>
          <w:b/>
          <w:bCs/>
        </w:rPr>
        <w:t>Fe</w:t>
      </w:r>
      <w:r>
        <w:rPr>
          <w:rFonts w:hint="eastAsia"/>
          <w:b/>
          <w:bCs/>
        </w:rPr>
        <w:t>、</w:t>
      </w:r>
      <w:r>
        <w:rPr>
          <w:b/>
          <w:bCs/>
        </w:rPr>
        <w:t>C</w:t>
      </w:r>
      <w:r>
        <w:rPr>
          <w:rFonts w:hint="eastAsia"/>
          <w:b/>
          <w:bCs/>
        </w:rPr>
        <w:t>、</w:t>
      </w:r>
      <w:r>
        <w:rPr>
          <w:b/>
          <w:bCs/>
        </w:rPr>
        <w:t>O</w:t>
      </w:r>
      <w:r>
        <w:rPr>
          <w:rFonts w:hint="eastAsia"/>
          <w:b/>
          <w:bCs/>
        </w:rPr>
        <w:t>三元素的纳米晶构成，表现出优良的力学和摩擦学性能。</w:t>
      </w:r>
    </w:p>
    <w:p>
      <w:pPr>
        <w:spacing w:before="240" w:after="120" w:line="240" w:lineRule="auto"/>
        <w:jc w:val="left"/>
        <w:rPr>
          <w:rFonts w:hint="eastAsia"/>
          <w:b/>
          <w:bCs/>
          <w:sz w:val="22"/>
          <w:szCs w:val="22"/>
          <w:lang w:val="en-US" w:eastAsia="zh-CN"/>
        </w:rPr>
      </w:pPr>
      <w:r>
        <w:rPr>
          <w:rFonts w:hint="eastAsia"/>
          <w:b/>
          <w:bCs/>
          <w:sz w:val="22"/>
          <w:szCs w:val="22"/>
          <w:lang w:val="en-US" w:eastAsia="zh-CN"/>
        </w:rPr>
        <w:t>摩擦系数随时间的变化关系：</w:t>
      </w:r>
    </w:p>
    <w:p>
      <w:pPr>
        <w:spacing w:before="240" w:after="120" w:line="240" w:lineRule="auto"/>
        <w:jc w:val="center"/>
        <w:rPr>
          <w:rFonts w:hint="eastAsia"/>
          <w:b/>
          <w:bCs/>
          <w:sz w:val="22"/>
          <w:szCs w:val="22"/>
          <w:lang w:val="en-US" w:eastAsia="zh-CN"/>
        </w:rPr>
      </w:pPr>
      <w:r>
        <w:rPr>
          <w:rFonts w:ascii="Calibri" w:hAnsi="Calibri" w:eastAsia="宋体"/>
          <w:kern w:val="2"/>
          <w:sz w:val="21"/>
          <w:szCs w:val="22"/>
          <w:lang w:val="en-US" w:eastAsia="zh-CN" w:bidi="ar-SA"/>
        </w:rPr>
        <w:pict>
          <v:shape id="图片 2" o:spid="_x0000_s1029" type="#_x0000_t75" style="height:280.45pt;width:361.45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mbria">
    <w:panose1 w:val="02040503050406030204"/>
    <w:charset w:val="00"/>
    <w:family w:val="auto"/>
    <w:pitch w:val="default"/>
    <w:sig w:usb0="E00002FF" w:usb1="400004FF" w:usb2="00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627203121">
    <w:nsid w:val="60FD2631"/>
    <w:multiLevelType w:val="multilevel"/>
    <w:tmpl w:val="60FD2631"/>
    <w:lvl w:ilvl="0" w:tentative="1">
      <w:start w:val="1"/>
      <w:numFmt w:val="decimal"/>
      <w:lvlText w:val="%1."/>
      <w:lvlJc w:val="left"/>
      <w:pPr>
        <w:tabs>
          <w:tab w:val="left" w:pos="720"/>
        </w:tabs>
        <w:ind w:left="720" w:hanging="360"/>
      </w:pPr>
    </w:lvl>
    <w:lvl w:ilvl="1" w:tentative="1">
      <w:start w:val="1"/>
      <w:numFmt w:val="decimal"/>
      <w:lvlText w:val="%2."/>
      <w:lvlJc w:val="left"/>
      <w:pPr>
        <w:tabs>
          <w:tab w:val="left" w:pos="1440"/>
        </w:tabs>
        <w:ind w:left="1440" w:hanging="360"/>
      </w:p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num w:numId="1">
    <w:abstractNumId w:val="16272031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name="header"/>
    <w:lsdException w:uiPriority="99"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0" w:name="annotation subject"/>
    <w:lsdException w:uiPriority="99" w:name="Balloon Text"/>
  </w:latentStyles>
  <w:style w:type="paragraph" w:default="1" w:styleId="1">
    <w:name w:val="Normal"/>
    <w:qFormat/>
    <w:uiPriority w:val="0"/>
    <w:pPr>
      <w:widowControl w:val="0"/>
      <w:jc w:val="both"/>
    </w:pPr>
    <w:rPr>
      <w:rFonts w:ascii="Calibri" w:hAnsi="Calibri" w:eastAsia="宋体"/>
      <w:kern w:val="2"/>
      <w:sz w:val="21"/>
      <w:szCs w:val="22"/>
      <w:lang w:val="en-US" w:eastAsia="zh-CN" w:bidi="ar-SA"/>
    </w:rPr>
  </w:style>
  <w:style w:type="character" w:default="1" w:styleId="5">
    <w:name w:val="Default Paragraph Font"/>
    <w:semiHidden/>
    <w:unhideWhenUsed/>
    <w:uiPriority w:val="1"/>
  </w:style>
  <w:style w:type="paragraph" w:styleId="2">
    <w:name w:val="Balloon Text"/>
    <w:basedOn w:val="1"/>
    <w:link w:val="8"/>
    <w:semiHidden/>
    <w:unhideWhenUsed/>
    <w:uiPriority w:val="99"/>
    <w:rPr>
      <w:sz w:val="18"/>
      <w:szCs w:val="18"/>
    </w:rPr>
  </w:style>
  <w:style w:type="paragraph" w:styleId="3">
    <w:name w:val="footer"/>
    <w:basedOn w:val="1"/>
    <w:link w:val="7"/>
    <w:semiHidden/>
    <w:unhideWhenUsed/>
    <w:uiPriority w:val="99"/>
    <w:pPr>
      <w:tabs>
        <w:tab w:val="center" w:pos="4153"/>
        <w:tab w:val="right" w:pos="8306"/>
      </w:tabs>
      <w:snapToGrid w:val="0"/>
      <w:jc w:val="left"/>
    </w:pPr>
    <w:rPr>
      <w:sz w:val="18"/>
      <w:szCs w:val="18"/>
    </w:rPr>
  </w:style>
  <w:style w:type="paragraph" w:styleId="4">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4"/>
    <w:semiHidden/>
    <w:uiPriority w:val="99"/>
    <w:rPr>
      <w:sz w:val="18"/>
      <w:szCs w:val="18"/>
    </w:rPr>
  </w:style>
  <w:style w:type="character" w:customStyle="1" w:styleId="7">
    <w:name w:val="页脚 Char"/>
    <w:basedOn w:val="5"/>
    <w:link w:val="3"/>
    <w:semiHidden/>
    <w:uiPriority w:val="99"/>
    <w:rPr>
      <w:sz w:val="18"/>
      <w:szCs w:val="18"/>
    </w:rPr>
  </w:style>
  <w:style w:type="character" w:customStyle="1" w:styleId="8">
    <w:name w:val="批注框文本 Char"/>
    <w:basedOn w:val="5"/>
    <w:link w:val="2"/>
    <w:semiHidden/>
    <w:uiPriority w:val="99"/>
    <w:rPr>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emf"/><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Pages>
  <Words>165</Words>
  <Characters>942</Characters>
  <Lines>7</Lines>
  <Paragraphs>2</Paragraphs>
  <TotalTime>0</TotalTime>
  <ScaleCrop>false</ScaleCrop>
  <LinksUpToDate>false</LinksUpToDate>
  <CharactersWithSpaces>0</CharactersWithSpaces>
  <Application>WPS Office 个人版_9.1.0.4632_{F1E327BC-269C-435d-A152-05C5408002CA}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2014-05-26T08:10:00Z</dcterms:created>
  <dc:creator>微软中国</dc:creator>
  <cp:lastModifiedBy>Administrator</cp:lastModifiedBy>
  <dcterms:modified xsi:type="dcterms:W3CDTF">2014-05-26T08:48:47Z</dcterms:modified>
  <dc:title>磨损1：</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2052-9.1.0.4632</vt:lpwstr>
  </property>
</Properties>
</file>